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80"/>
      </w:pPr>
      <w:r>
        <w:rPr>
          <w:rFonts w:ascii="Arial" w:hAnsi="Arial" w:eastAsia="Arial"/>
          <w:b/>
          <w:i w:val="0"/>
          <w:color w:val="000000"/>
          <w:sz w:val="38"/>
        </w:rPr>
        <w:t>Шаблон договора на выполнение погрузочно разгрузочных работ</w:t>
      </w:r>
    </w:p>
    <w:p>
      <w:pPr>
        <w:keepNext/>
        <w:spacing w:after="220"/>
      </w:pPr>
      <w:r>
        <w:rPr>
          <w:rFonts w:ascii="Arial" w:hAnsi="Arial" w:eastAsia="Arial"/>
          <w:b w:val="0"/>
          <w:i w:val="0"/>
          <w:color w:val="505050"/>
          <w:sz w:val="23"/>
        </w:rPr>
        <w:t>Для согласования разовой или регулярной заявки с организацией</w:t>
      </w:r>
    </w:p>
    <w:p>
      <w:pPr>
        <w:spacing w:after="180" w:line="271" w:lineRule="auto"/>
      </w:pPr>
      <w:r>
        <w:rPr>
          <w:rFonts w:ascii="Arial" w:hAnsi="Arial" w:eastAsia="Arial"/>
          <w:b w:val="0"/>
          <w:i w:val="0"/>
          <w:color w:val="000000"/>
          <w:sz w:val="21"/>
        </w:rPr>
        <w:t>Документ помогает зафиксировать стороны, задачу, сроки, стоимость и порядок приемки работ до начала заказа. Заполните поля в квадратных скобках и согласуйте приложения. Перед подписанием документ необходимо проверить у юриста с учетом выбранной модели работы и статуса исполнителя.</w:t>
      </w:r>
    </w:p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Стороны и основные условия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52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56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Что указать</w:t>
            </w:r>
          </w:p>
        </w:tc>
      </w:tr>
      <w:tr>
        <w:tc>
          <w:tcPr>
            <w:tcW w:type="dxa" w:w="252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Дата и место</w:t>
            </w:r>
          </w:p>
        </w:tc>
        <w:tc>
          <w:tcPr>
            <w:tcW w:type="dxa" w:w="756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[дата]  [город]</w:t>
            </w:r>
          </w:p>
        </w:tc>
      </w:tr>
      <w:tr>
        <w:tc>
          <w:tcPr>
            <w:tcW w:type="dxa" w:w="252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Заказчик</w:t>
            </w:r>
          </w:p>
        </w:tc>
        <w:tc>
          <w:tcPr>
            <w:tcW w:type="dxa" w:w="756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[полное наименование, ИНН, адрес, представитель]</w:t>
            </w:r>
          </w:p>
        </w:tc>
      </w:tr>
      <w:tr>
        <w:tc>
          <w:tcPr>
            <w:tcW w:type="dxa" w:w="252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Исполнитель</w:t>
            </w:r>
          </w:p>
        </w:tc>
        <w:tc>
          <w:tcPr>
            <w:tcW w:type="dxa" w:w="756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[наименование или ФИО, статус, ИНН, адрес, представитель]</w:t>
            </w:r>
          </w:p>
        </w:tc>
      </w:tr>
      <w:tr>
        <w:tc>
          <w:tcPr>
            <w:tcW w:type="dxa" w:w="252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Основание полномочий</w:t>
            </w:r>
          </w:p>
        </w:tc>
        <w:tc>
          <w:tcPr>
            <w:tcW w:type="dxa" w:w="756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[устав, доверенность, иной документ]</w:t>
            </w:r>
          </w:p>
        </w:tc>
      </w:tr>
    </w:tbl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Предмет договора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1. </w:t>
      </w:r>
      <w:r>
        <w:rPr>
          <w:rFonts w:ascii="Arial" w:hAnsi="Arial" w:eastAsia="Arial"/>
          <w:b/>
          <w:i w:val="0"/>
          <w:color w:val="000000"/>
          <w:sz w:val="21"/>
        </w:rPr>
        <w:t>Задача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Исполнитель по заявке Заказчика выполняет погрузочно разгрузочные, такелажные или иные согласованные физические работы, а Заказчик принимает результат и оплачивает его на условиях настоящего договора и заявки.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2. </w:t>
      </w:r>
      <w:r>
        <w:rPr>
          <w:rFonts w:ascii="Arial" w:hAnsi="Arial" w:eastAsia="Arial"/>
          <w:b/>
          <w:i w:val="0"/>
          <w:color w:val="000000"/>
          <w:sz w:val="21"/>
        </w:rPr>
        <w:t>Заявка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Конкретный адрес, состав работ, количество исполнителей, время, ограничения по доступу, требования к технике безопасности и иные условия фиксируются в Заказ-наряде или Приложении 1.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3. </w:t>
      </w:r>
      <w:r>
        <w:rPr>
          <w:rFonts w:ascii="Arial" w:hAnsi="Arial" w:eastAsia="Arial"/>
          <w:b/>
          <w:i w:val="0"/>
          <w:color w:val="000000"/>
          <w:sz w:val="21"/>
        </w:rPr>
        <w:t>Результат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Работы считаются выполненными после завершения согласованного объема и подтверждения представителем Заказчика, если иной порядок не указан в заявке.</w:t>
      </w:r>
    </w:p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Параметры заказа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52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Параметр</w:t>
            </w:r>
          </w:p>
        </w:tc>
        <w:tc>
          <w:tcPr>
            <w:tcW w:type="dxa" w:w="756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Значение</w:t>
            </w:r>
          </w:p>
        </w:tc>
      </w:tr>
      <w:tr>
        <w:tc>
          <w:tcPr>
            <w:tcW w:type="dxa" w:w="252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Адрес и объект</w:t>
            </w:r>
          </w:p>
        </w:tc>
        <w:tc>
          <w:tcPr>
            <w:tcW w:type="dxa" w:w="756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[адрес, этаж, зона погрузки, пропускной режим]</w:t>
            </w:r>
          </w:p>
        </w:tc>
      </w:tr>
      <w:tr>
        <w:tc>
          <w:tcPr>
            <w:tcW w:type="dxa" w:w="252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Дата и время</w:t>
            </w:r>
          </w:p>
        </w:tc>
        <w:tc>
          <w:tcPr>
            <w:tcW w:type="dxa" w:w="756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[дата]  [время начала]  [ориентировочная длительность]</w:t>
            </w:r>
          </w:p>
        </w:tc>
      </w:tr>
      <w:tr>
        <w:tc>
          <w:tcPr>
            <w:tcW w:type="dxa" w:w="252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Состав команды</w:t>
            </w:r>
          </w:p>
        </w:tc>
        <w:tc>
          <w:tcPr>
            <w:tcW w:type="dxa" w:w="756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[количество исполнителей, ответственное лицо]</w:t>
            </w:r>
          </w:p>
        </w:tc>
      </w:tr>
      <w:tr>
        <w:tc>
          <w:tcPr>
            <w:tcW w:type="dxa" w:w="252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Оборудование</w:t>
            </w:r>
          </w:p>
        </w:tc>
        <w:tc>
          <w:tcPr>
            <w:tcW w:type="dxa" w:w="756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[тележки, ремни, инструмент, транспорт или не требуется]</w:t>
            </w:r>
          </w:p>
        </w:tc>
      </w:tr>
      <w:tr>
        <w:tc>
          <w:tcPr>
            <w:tcW w:type="dxa" w:w="252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Особые условия</w:t>
            </w:r>
          </w:p>
        </w:tc>
        <w:tc>
          <w:tcPr>
            <w:tcW w:type="dxa" w:w="756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[груз, ограничения, риски, фотофиксация, контакт на объекте]</w:t>
            </w:r>
          </w:p>
        </w:tc>
      </w:tr>
    </w:tbl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Стоимость и расчеты</w:t>
      </w:r>
    </w:p>
    <w:p>
      <w:pPr>
        <w:spacing w:after="120" w:line="271" w:lineRule="auto"/>
      </w:pPr>
      <w:r>
        <w:rPr>
          <w:rFonts w:ascii="Arial" w:hAnsi="Arial" w:eastAsia="Arial"/>
          <w:b w:val="0"/>
          <w:i w:val="0"/>
          <w:color w:val="000000"/>
          <w:sz w:val="21"/>
        </w:rPr>
        <w:t>Цена определяется по согласованной заявке. Если объем работ меняется, стороны до продолжения работ фиксируют новое условие в переписке, Заказ-наряде или дополнительном соглашении.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3096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Работа или ресурс</w:t>
            </w:r>
          </w:p>
        </w:tc>
        <w:tc>
          <w:tcPr>
            <w:tcW w:type="dxa" w:w="180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Единица</w:t>
            </w:r>
          </w:p>
        </w:tc>
        <w:tc>
          <w:tcPr>
            <w:tcW w:type="dxa" w:w="1224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Количество</w:t>
            </w:r>
          </w:p>
        </w:tc>
        <w:tc>
          <w:tcPr>
            <w:tcW w:type="dxa" w:w="1728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Цена</w:t>
            </w:r>
          </w:p>
        </w:tc>
        <w:tc>
          <w:tcPr>
            <w:tcW w:type="dxa" w:w="1512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Сумма</w:t>
            </w:r>
          </w:p>
        </w:tc>
      </w:tr>
      <w:tr>
        <w:tc>
          <w:tcPr>
            <w:tcW w:type="dxa" w:w="3096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[вид работ]</w:t>
            </w:r>
          </w:p>
        </w:tc>
        <w:tc>
          <w:tcPr>
            <w:tcW w:type="dxa" w:w="180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[час / смена / заказ]</w:t>
            </w:r>
          </w:p>
        </w:tc>
        <w:tc>
          <w:tcPr>
            <w:tcW w:type="dxa" w:w="1224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28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 руб.</w:t>
            </w:r>
          </w:p>
        </w:tc>
        <w:tc>
          <w:tcPr>
            <w:tcW w:type="dxa" w:w="1512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 руб.</w:t>
            </w:r>
          </w:p>
        </w:tc>
      </w:tr>
      <w:tr>
        <w:tc>
          <w:tcPr>
            <w:tcW w:type="dxa" w:w="3096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[дополнительный ресурс]</w:t>
            </w:r>
          </w:p>
        </w:tc>
        <w:tc>
          <w:tcPr>
            <w:tcW w:type="dxa" w:w="180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224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28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 руб.</w:t>
            </w:r>
          </w:p>
        </w:tc>
        <w:tc>
          <w:tcPr>
            <w:tcW w:type="dxa" w:w="1512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 руб.</w:t>
            </w:r>
          </w:p>
        </w:tc>
      </w:tr>
      <w:tr>
        <w:tc>
          <w:tcPr>
            <w:tcW w:type="dxa" w:w="3096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Итого</w:t>
            </w:r>
          </w:p>
        </w:tc>
        <w:tc>
          <w:tcPr>
            <w:tcW w:type="dxa" w:w="180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</w:r>
          </w:p>
        </w:tc>
        <w:tc>
          <w:tcPr>
            <w:tcW w:type="dxa" w:w="1224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</w:r>
          </w:p>
        </w:tc>
        <w:tc>
          <w:tcPr>
            <w:tcW w:type="dxa" w:w="1728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</w:r>
          </w:p>
        </w:tc>
        <w:tc>
          <w:tcPr>
            <w:tcW w:type="dxa" w:w="1512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[ ] руб.</w:t>
            </w:r>
          </w:p>
        </w:tc>
      </w:tr>
    </w:tbl>
    <w:p>
      <w:pPr>
        <w:spacing w:after="160" w:line="271" w:lineRule="auto"/>
      </w:pPr>
      <w:r>
        <w:rPr>
          <w:rFonts w:ascii="Arial" w:hAnsi="Arial" w:eastAsia="Arial"/>
          <w:b w:val="0"/>
          <w:i w:val="0"/>
          <w:color w:val="000000"/>
          <w:sz w:val="21"/>
        </w:rPr>
        <w:t>Порядок оплаты: [предоплата / по факту / по счету в течение ___ рабочих дней]. Налоги и статус исполнителя: [указать применимый порядок]. Банковские реквизиты указываются в разделе Реквизиты и подписи.</w:t>
      </w:r>
    </w:p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Права и обязанности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4. </w:t>
      </w:r>
      <w:r>
        <w:rPr>
          <w:rFonts w:ascii="Arial" w:hAnsi="Arial" w:eastAsia="Arial"/>
          <w:b/>
          <w:i w:val="0"/>
          <w:color w:val="000000"/>
          <w:sz w:val="21"/>
        </w:rPr>
        <w:t>Исполнитель обязан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прибыть к согласованному времени, соблюдать правила объекта и техники безопасности, поддерживать связь с контактным лицом и сообщать о препятствиях, которые влияют на срок или объем работ.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5. </w:t>
      </w:r>
      <w:r>
        <w:rPr>
          <w:rFonts w:ascii="Arial" w:hAnsi="Arial" w:eastAsia="Arial"/>
          <w:b/>
          <w:i w:val="0"/>
          <w:color w:val="000000"/>
          <w:sz w:val="21"/>
        </w:rPr>
        <w:t>Заказчик обязан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обеспечить доступ к объекту, сообщить об опасных условиях и особенностях груза, назначить контактное лицо, принять результат и оплатить согласованный объем.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6. </w:t>
      </w:r>
      <w:r>
        <w:rPr>
          <w:rFonts w:ascii="Arial" w:hAnsi="Arial" w:eastAsia="Arial"/>
          <w:b/>
          <w:i w:val="0"/>
          <w:color w:val="000000"/>
          <w:sz w:val="21"/>
        </w:rPr>
        <w:t>Замена исполнителя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Если согласованный исполнитель не может выйти на заказ, стороны согласуют замену до начала работ. Требования к квалификации и количеству исполнителей фиксируются в заявке.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7. </w:t>
      </w:r>
      <w:r>
        <w:rPr>
          <w:rFonts w:ascii="Arial" w:hAnsi="Arial" w:eastAsia="Arial"/>
          <w:b/>
          <w:i w:val="0"/>
          <w:color w:val="000000"/>
          <w:sz w:val="21"/>
        </w:rPr>
        <w:t>Материальная ответственность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Пределы ответственности за имущество, перечень передаваемых ценностей, порядок фиксации состояния и размер возмещения указываются отдельно в заявке или приложении. Нельзя считать такие условия согласованными без их письменной фиксации и проверки применимого права.</w:t>
      </w:r>
    </w:p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Приемка и претензии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8. </w:t>
      </w:r>
      <w:r>
        <w:rPr>
          <w:rFonts w:ascii="Arial" w:hAnsi="Arial" w:eastAsia="Arial"/>
          <w:b/>
          <w:i w:val="0"/>
          <w:color w:val="000000"/>
          <w:sz w:val="21"/>
        </w:rPr>
        <w:t>Подтверждение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По окончании работ представитель Заказчика подтверждает объем и время в Заказ-наряде, акте или согласованном электронном сообщении.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9. </w:t>
      </w:r>
      <w:r>
        <w:rPr>
          <w:rFonts w:ascii="Arial" w:hAnsi="Arial" w:eastAsia="Arial"/>
          <w:b/>
          <w:i w:val="0"/>
          <w:color w:val="000000"/>
          <w:sz w:val="21"/>
        </w:rPr>
        <w:t>Замечания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Замечания по объему или качеству сообщаются в момент приемки либо в течение [ ] рабочих дней. Стороны описывают обстоятельства и согласуют срок устранения, если это возможно.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10. </w:t>
      </w:r>
      <w:r>
        <w:rPr>
          <w:rFonts w:ascii="Arial" w:hAnsi="Arial" w:eastAsia="Arial"/>
          <w:b/>
          <w:i w:val="0"/>
          <w:color w:val="000000"/>
          <w:sz w:val="21"/>
        </w:rPr>
        <w:t>Споры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Стороны сначала проводят переговоры и обмениваются письменными претензиями. При недостижении соглашения спор рассматривается в порядке, установленном применимым законодательством и согласованной подсудностью.</w:t>
      </w:r>
    </w:p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Срок действия и данные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11. </w:t>
      </w:r>
      <w:r>
        <w:rPr>
          <w:rFonts w:ascii="Arial" w:hAnsi="Arial" w:eastAsia="Arial"/>
          <w:b/>
          <w:i w:val="0"/>
          <w:color w:val="000000"/>
          <w:sz w:val="21"/>
        </w:rPr>
        <w:t>Срок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Договор действует с [дата] по [дата] либо до полного исполнения обязательств. Заказы в период действия договора оформляются отдельными заявками.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12. </w:t>
      </w:r>
      <w:r>
        <w:rPr>
          <w:rFonts w:ascii="Arial" w:hAnsi="Arial" w:eastAsia="Arial"/>
          <w:b/>
          <w:i w:val="0"/>
          <w:color w:val="000000"/>
          <w:sz w:val="21"/>
        </w:rPr>
        <w:t>Персональные данные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Если для исполнения заявки передаются персональные данные, каждая сторона использует их только для согласованных целей и обеспечивает необходимое правовое основание, режим доступа и хранение.</w:t>
      </w:r>
    </w:p>
    <w:p>
      <w:pPr>
        <w:spacing w:after="80" w:line="269" w:lineRule="auto"/>
        <w:ind w:left="230" w:hanging="230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13. </w:t>
      </w:r>
      <w:r>
        <w:rPr>
          <w:rFonts w:ascii="Arial" w:hAnsi="Arial" w:eastAsia="Arial"/>
          <w:b/>
          <w:i w:val="0"/>
          <w:color w:val="000000"/>
          <w:sz w:val="21"/>
        </w:rPr>
        <w:t>Сообщения</w:t>
      </w:r>
      <w:r>
        <w:rPr>
          <w:rFonts w:ascii="Arial" w:hAnsi="Arial" w:eastAsia="Arial"/>
          <w:b w:val="0"/>
          <w:i w:val="0"/>
          <w:color w:val="000000"/>
          <w:sz w:val="21"/>
        </w:rPr>
        <w:t xml:space="preserve"> Юридически значимые сообщения направляются на адреса и контакты, указанные в реквизитах, если стороны письменно не согласовали иной канал.</w:t>
      </w:r>
    </w:p>
    <w:p>
      <w:pPr>
        <w:pStyle w:val="Heading1"/>
        <w:spacing w:before="260" w:after="100"/>
      </w:pPr>
      <w:r>
        <w:rPr>
          <w:rFonts w:ascii="Arial" w:hAnsi="Arial" w:eastAsia="Arial"/>
          <w:b/>
          <w:i w:val="0"/>
          <w:color w:val="000000"/>
          <w:sz w:val="26"/>
        </w:rPr>
        <w:t>Реквизиты и подписи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4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Заказчик</w:t>
            </w:r>
          </w:p>
        </w:tc>
        <w:tc>
          <w:tcPr>
            <w:tcW w:type="dxa" w:w="5040"/>
            <w:shd w:fill="1F4E79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Исполнитель</w:t>
            </w:r>
          </w:p>
        </w:tc>
      </w:tr>
      <w:tr>
        <w:tc>
          <w:tcPr>
            <w:tcW w:type="dxa" w:w="504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Наименование: [ ]</w:t>
              <w:br/>
              <w:t>ИНН / КПП: [ ]</w:t>
              <w:br/>
              <w:t>Адрес: [ ]</w:t>
              <w:br/>
              <w:t>Банк и счет: [ ]</w:t>
              <w:br/>
              <w:t>Контакт: [ ]</w:t>
            </w:r>
          </w:p>
        </w:tc>
        <w:tc>
          <w:tcPr>
            <w:tcW w:type="dxa" w:w="5040"/>
            <w:shd w:fill="FFFFFF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Наименование или ФИО: [ ]</w:t>
              <w:br/>
              <w:t>ИНН / статус: [ ]</w:t>
              <w:br/>
              <w:t>Адрес: [ ]</w:t>
              <w:br/>
              <w:t>Банк и счет: [ ]</w:t>
              <w:br/>
              <w:t>Контакт: [ ]</w:t>
            </w:r>
          </w:p>
        </w:tc>
      </w:tr>
      <w:tr>
        <w:tc>
          <w:tcPr>
            <w:tcW w:type="dxa" w:w="504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Подпись: __________________</w:t>
              <w:br/>
              <w:t>ФИО: [ ]</w:t>
            </w:r>
          </w:p>
        </w:tc>
        <w:tc>
          <w:tcPr>
            <w:tcW w:type="dxa" w:w="5040"/>
            <w:shd w:fill="F3F7FB" w:val="clear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Подпись: __________________</w:t>
              <w:br/>
              <w:t>ФИО: [ ]</w:t>
            </w:r>
          </w:p>
        </w:tc>
      </w:tr>
    </w:tbl>
    <w:p>
      <w:pPr>
        <w:spacing w:after="0" w:line="271" w:lineRule="auto"/>
      </w:pPr>
      <w:r>
        <w:rPr>
          <w:rFonts w:ascii="Arial" w:hAnsi="Arial" w:eastAsia="Arial"/>
          <w:b w:val="0"/>
          <w:i w:val="0"/>
          <w:color w:val="000000"/>
          <w:sz w:val="21"/>
        </w:rPr>
        <w:t>Приложения: 1. Заказ-наряд и параметры заявки. 2. Акт выполненных работ. 3. Иные согласованные приложения.</w:t>
      </w:r>
    </w:p>
    <w:sectPr w:rsidR="00FC693F" w:rsidRPr="0006063C" w:rsidSect="00034616">
      <w:footerReference w:type="default" r:id="rId9"/>
      <w:pgSz w:w="12240" w:h="15840"/>
      <w:pgMar w:top="936" w:right="1037" w:bottom="893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 w:eastAsia="Arial"/>
        <w:b w:val="0"/>
        <w:i w:val="0"/>
        <w:color w:val="646464"/>
        <w:sz w:val="17"/>
      </w:rPr>
      <w:t xml:space="preserve">Шаблон договора  |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договора на выполнение погрузочно разгрузочных работ</dc:title>
  <dc:subject>Шаблон для согласования B2B заказа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